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A639E" w14:textId="77777777" w:rsidR="0023486D" w:rsidRDefault="0023486D" w:rsidP="002348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ACC75B2" w14:textId="77777777" w:rsidR="0023486D" w:rsidRDefault="0023486D" w:rsidP="002348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0CC0A94" w14:textId="77777777" w:rsidR="0023486D" w:rsidRDefault="0023486D" w:rsidP="002348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EBE8C3B" w14:textId="77777777" w:rsidR="0023486D" w:rsidRDefault="0023486D" w:rsidP="002348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F16A3AC" w14:textId="77777777" w:rsidR="0023486D" w:rsidRDefault="0023486D" w:rsidP="002348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292016F" w14:textId="77777777" w:rsidR="0023486D" w:rsidRDefault="0023486D" w:rsidP="002348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64DD438" w14:textId="77777777" w:rsidR="0023486D" w:rsidRPr="0023486D" w:rsidRDefault="0023486D" w:rsidP="002348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486D">
        <w:rPr>
          <w:rFonts w:ascii="Times New Roman" w:hAnsi="Times New Roman" w:cs="Times New Roman"/>
          <w:sz w:val="24"/>
          <w:szCs w:val="24"/>
          <w:shd w:val="clear" w:color="auto" w:fill="FFFFFF"/>
        </w:rPr>
        <w:t>Internal control issues</w:t>
      </w:r>
    </w:p>
    <w:p w14:paraId="02D33A78" w14:textId="77777777" w:rsidR="0023486D" w:rsidRPr="0023486D" w:rsidRDefault="0023486D" w:rsidP="00A739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486D">
        <w:rPr>
          <w:rFonts w:ascii="Times New Roman" w:hAnsi="Times New Roman" w:cs="Times New Roman"/>
          <w:sz w:val="24"/>
          <w:szCs w:val="24"/>
          <w:shd w:val="clear" w:color="auto" w:fill="FFFFFF"/>
        </w:rPr>
        <w:t>Student Name</w:t>
      </w:r>
    </w:p>
    <w:p w14:paraId="7C76C410" w14:textId="77777777" w:rsidR="0023486D" w:rsidRPr="0023486D" w:rsidRDefault="0023486D" w:rsidP="00A739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486D">
        <w:rPr>
          <w:rFonts w:ascii="Times New Roman" w:hAnsi="Times New Roman" w:cs="Times New Roman"/>
          <w:sz w:val="24"/>
          <w:szCs w:val="24"/>
          <w:shd w:val="clear" w:color="auto" w:fill="FFFFFF"/>
        </w:rPr>
        <w:t>Course Unit</w:t>
      </w:r>
    </w:p>
    <w:p w14:paraId="734C9C0A" w14:textId="77777777" w:rsidR="0023486D" w:rsidRPr="0023486D" w:rsidRDefault="0023486D" w:rsidP="00A739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486D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14:paraId="5D0B10B6" w14:textId="77777777" w:rsidR="0023486D" w:rsidRDefault="0023486D" w:rsidP="00A7390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0C8CF14F" w14:textId="77777777" w:rsidR="0023486D" w:rsidRDefault="0023486D" w:rsidP="00A7390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1612195A" w14:textId="77777777" w:rsidR="0023486D" w:rsidRDefault="0023486D" w:rsidP="00A7390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4F634745" w14:textId="77777777" w:rsidR="0023486D" w:rsidRDefault="0023486D" w:rsidP="00A7390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2EB1F709" w14:textId="77777777" w:rsidR="0023486D" w:rsidRDefault="0023486D" w:rsidP="00A7390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7C5EED5B" w14:textId="77777777" w:rsidR="0023486D" w:rsidRDefault="0023486D" w:rsidP="00A7390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60C4BB23" w14:textId="77777777" w:rsidR="0023486D" w:rsidRDefault="0023486D" w:rsidP="00A7390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764C09F3" w14:textId="77777777" w:rsidR="00566351" w:rsidRPr="00A73901" w:rsidRDefault="00566351" w:rsidP="00A7390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739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Internal control issues</w:t>
      </w:r>
    </w:p>
    <w:p w14:paraId="5E26A01E" w14:textId="77777777" w:rsidR="00CF7D86" w:rsidRPr="00CF7D86" w:rsidRDefault="00DE5865" w:rsidP="0099502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Chin, K. (2019, December). </w:t>
      </w:r>
      <w:r w:rsidR="00CF7D86" w:rsidRPr="00CF7D86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MetLife Agrees to $10 Million SEC Fine Over Pension-Related Accounting Violations</w:t>
      </w:r>
    </w:p>
    <w:p w14:paraId="0AD98E05" w14:textId="77777777" w:rsidR="00CF7D86" w:rsidRPr="00995029" w:rsidRDefault="00DE0062" w:rsidP="0099502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6" w:history="1">
        <w:r w:rsidR="00CF7D86" w:rsidRPr="0099502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https://www.wsj.com/articles/metlife-agrees-to-10-million-sec-fine-over-pension-related-accounting-violations-11576723208</w:t>
        </w:r>
      </w:hyperlink>
    </w:p>
    <w:p w14:paraId="572A179A" w14:textId="77777777" w:rsidR="00566351" w:rsidRPr="00A73901" w:rsidRDefault="00566351" w:rsidP="00A7390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739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MetLife</w:t>
      </w:r>
    </w:p>
    <w:p w14:paraId="04D85B38" w14:textId="77777777" w:rsidR="00566351" w:rsidRPr="00995029" w:rsidRDefault="00566351" w:rsidP="001E24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>MetLife lacked effective internal controls which saw it get fined US $10million by SEC in December 2019.</w:t>
      </w:r>
      <w:r w:rsidR="00493DE6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MetLife </w:t>
      </w:r>
      <w:r w:rsidR="008809A2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>failed to maintain sufficient internal accounting controls which caused MetLife to violate</w:t>
      </w:r>
      <w:r w:rsidR="00493DE6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its books and records</w:t>
      </w:r>
      <w:r w:rsidR="008809A2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consequently resulting in understatement and overstatement of its reserves </w:t>
      </w:r>
      <w:r w:rsidR="00493DE6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associated with its annuities business. </w:t>
      </w:r>
      <w:r w:rsidR="00D17E44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These errors were discovered by SEC through its investigation. </w:t>
      </w:r>
      <w:r w:rsidR="00493DE6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over 25 years, MetLife had </w:t>
      </w:r>
      <w:r w:rsidR="00D17E44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>always</w:t>
      </w:r>
      <w:r w:rsidR="00493DE6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assumed annuitants had died if they failed to respond to two mailing attempts made five and half years apart. This caused MetLife to </w:t>
      </w:r>
      <w:r w:rsidR="00287443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commit an understatement error through </w:t>
      </w:r>
      <w:r w:rsidR="00493DE6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improperly release reserves for annuity benefits associated with </w:t>
      </w:r>
      <w:r w:rsidR="00287443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MetLife’s </w:t>
      </w:r>
      <w:r w:rsidR="00E3384F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>Retirement</w:t>
      </w:r>
      <w:r w:rsidR="00493DE6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3384F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>and</w:t>
      </w:r>
      <w:r w:rsidR="00493DE6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Income Solutions Business which led to an increase in income. MetLife came to determine that i</w:t>
      </w:r>
      <w:r w:rsidR="00B4277E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ts processes were </w:t>
      </w:r>
      <w:r w:rsidR="00E3384F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>insufficient</w:t>
      </w:r>
      <w:r w:rsidR="00B4277E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In order to correct this error, MetLife increased its reserves by$510 million at </w:t>
      </w:r>
      <w:r w:rsidR="00E3384F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B4277E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end of year 2017.</w:t>
      </w:r>
      <w:r w:rsidR="00E3384F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SEC also found that MetLife had overstated its reserves and understated income. </w:t>
      </w:r>
      <w:r w:rsidR="00287443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MetLife also </w:t>
      </w:r>
      <w:r w:rsidR="00E47A4F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>committed</w:t>
      </w:r>
      <w:r w:rsidR="00287443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 </w:t>
      </w:r>
      <w:r w:rsidR="00E47A4F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>overstatement</w:t>
      </w:r>
      <w:r w:rsidR="00287443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47A4F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>error through</w:t>
      </w:r>
      <w:r w:rsidR="00287443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issuance of variable annuity guarantees which were assumed by its subsidiary, MetLife Reinsurance Company, Bermuda. </w:t>
      </w:r>
      <w:r w:rsidR="00E3384F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47A4F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MetLife </w:t>
      </w:r>
      <w:r w:rsidR="00E3384F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did not deny this mistake and the disclosed that the accounting error was caused by data </w:t>
      </w:r>
      <w:r w:rsidR="00DC4EA5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>mistakes</w:t>
      </w:r>
      <w:r w:rsidR="00E3384F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resulting from failure to incorporate the policyholder withdrawals </w:t>
      </w:r>
      <w:r w:rsidR="00DC4EA5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into the </w:t>
      </w:r>
      <w:r w:rsidR="00E3384F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valuation model of MetLife properly, in order to correct this </w:t>
      </w:r>
      <w:r w:rsidR="00D10402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>error;</w:t>
      </w:r>
      <w:r w:rsidR="00E3384F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C4EA5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>MetLife</w:t>
      </w:r>
      <w:r w:rsidR="00E3384F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had reduced its reserves by $896 million at the end of </w:t>
      </w:r>
      <w:r w:rsidR="00E3384F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2017.</w:t>
      </w:r>
      <w:r w:rsidR="00975B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1A47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MetLife violated accounting books and internal accounting controls provided by the federal securities laws.  As a result, MetLife </w:t>
      </w:r>
      <w:r w:rsidR="00186D3C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>agreed</w:t>
      </w:r>
      <w:r w:rsidR="00975B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stop</w:t>
      </w:r>
      <w:r w:rsidR="00E61A47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st</w:t>
      </w:r>
      <w:r w:rsidR="004A59A3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>ay away from repeating or commi</w:t>
      </w:r>
      <w:r w:rsidR="00E61A47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tting any future violations of the internal control provisions. In addition, MetLife was charged to pay a civil penalty of $10million to SEC. </w:t>
      </w:r>
    </w:p>
    <w:p w14:paraId="7B3038E0" w14:textId="77777777" w:rsidR="00E34A42" w:rsidRDefault="00E740D6" w:rsidP="001E24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MetLife failed in its internal accounting control systems through making assumptions rather than follow the correct provisions of internal </w:t>
      </w:r>
      <w:r w:rsidR="00954909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>accounting</w:t>
      </w:r>
      <w:r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controls. </w:t>
      </w:r>
      <w:r w:rsidR="00262C81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Besides the two mailings sent to annuitants </w:t>
      </w:r>
      <w:r w:rsidR="00CA4C14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>five yea</w:t>
      </w:r>
      <w:r w:rsidR="00954909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>rs apart, SEC determines that MetLife did no</w:t>
      </w:r>
      <w:r w:rsidR="00CA4C14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 </w:t>
      </w:r>
      <w:r w:rsidR="00954909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>attempt</w:t>
      </w:r>
      <w:r w:rsidR="00CA4C14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follow </w:t>
      </w:r>
      <w:r w:rsidR="00954909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>up with</w:t>
      </w:r>
      <w:r w:rsidR="00CA4C14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54909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CA4C14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annuitants through other means. This implies that </w:t>
      </w:r>
      <w:r w:rsidR="00954909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>in case</w:t>
      </w:r>
      <w:r w:rsidR="00CA4C14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annuitants contact </w:t>
      </w:r>
      <w:r w:rsidR="00954909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>information</w:t>
      </w:r>
      <w:r w:rsidR="00CA4C14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had changed, the annuitants never received the said notifications from MetLife </w:t>
      </w:r>
      <w:r w:rsidR="00815B98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>where</w:t>
      </w:r>
      <w:r w:rsidR="00CA4C14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they were entitled to benefits. The variable annuity guarantees </w:t>
      </w:r>
      <w:r w:rsidR="00815B98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>overstatement</w:t>
      </w:r>
      <w:r w:rsidR="00CA4C14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error was attributed to data errors. </w:t>
      </w:r>
      <w:r w:rsidR="00DD4E2F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>These mistakes could have been avoided if only MetLife had established proper internal accounting control systems. To avoid a repeat of the same in the future, MetLife should ensure it follows fully the provisions provided by SEC when conducting its business related to accounting records and preparing financial statements</w:t>
      </w:r>
      <w:r w:rsidR="006404AC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MetLife should boost its risk identification process, train its staff on the internal accounting controls and provide clear communication regarding control responsibilities. </w:t>
      </w:r>
      <w:r w:rsidR="00DD4E2F"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66351" w:rsidRPr="00995029">
        <w:rPr>
          <w:rFonts w:ascii="Times New Roman" w:hAnsi="Times New Roman" w:cs="Times New Roman"/>
          <w:sz w:val="24"/>
          <w:szCs w:val="24"/>
        </w:rPr>
        <w:br/>
      </w:r>
      <w:r w:rsidR="008B59E5" w:rsidRPr="00995029">
        <w:rPr>
          <w:rFonts w:ascii="Times New Roman" w:hAnsi="Times New Roman" w:cs="Times New Roman"/>
          <w:sz w:val="24"/>
          <w:szCs w:val="24"/>
        </w:rPr>
        <w:t>MetLife</w:t>
      </w:r>
      <w:r w:rsidR="00834C1B" w:rsidRPr="00995029">
        <w:rPr>
          <w:rFonts w:ascii="Times New Roman" w:hAnsi="Times New Roman" w:cs="Times New Roman"/>
          <w:sz w:val="24"/>
          <w:szCs w:val="24"/>
        </w:rPr>
        <w:t xml:space="preserve"> should </w:t>
      </w:r>
      <w:r w:rsidR="008B59E5" w:rsidRPr="00995029">
        <w:rPr>
          <w:rFonts w:ascii="Times New Roman" w:hAnsi="Times New Roman" w:cs="Times New Roman"/>
          <w:sz w:val="24"/>
          <w:szCs w:val="24"/>
        </w:rPr>
        <w:t>regularly</w:t>
      </w:r>
      <w:r w:rsidR="00834C1B" w:rsidRPr="00995029">
        <w:rPr>
          <w:rFonts w:ascii="Times New Roman" w:hAnsi="Times New Roman" w:cs="Times New Roman"/>
          <w:sz w:val="24"/>
          <w:szCs w:val="24"/>
        </w:rPr>
        <w:t xml:space="preserve"> monitor </w:t>
      </w:r>
      <w:r w:rsidR="008B59E5" w:rsidRPr="00995029">
        <w:rPr>
          <w:rFonts w:ascii="Times New Roman" w:hAnsi="Times New Roman" w:cs="Times New Roman"/>
          <w:sz w:val="24"/>
          <w:szCs w:val="24"/>
        </w:rPr>
        <w:t>compliance</w:t>
      </w:r>
      <w:r w:rsidR="00834C1B" w:rsidRPr="00995029">
        <w:rPr>
          <w:rFonts w:ascii="Times New Roman" w:hAnsi="Times New Roman" w:cs="Times New Roman"/>
          <w:sz w:val="24"/>
          <w:szCs w:val="24"/>
        </w:rPr>
        <w:t xml:space="preserve"> with the SEC </w:t>
      </w:r>
      <w:r w:rsidR="008B59E5" w:rsidRPr="00995029">
        <w:rPr>
          <w:rFonts w:ascii="Times New Roman" w:hAnsi="Times New Roman" w:cs="Times New Roman"/>
          <w:sz w:val="24"/>
          <w:szCs w:val="24"/>
        </w:rPr>
        <w:t>provisions</w:t>
      </w:r>
      <w:r w:rsidR="00834C1B" w:rsidRPr="00995029">
        <w:rPr>
          <w:rFonts w:ascii="Times New Roman" w:hAnsi="Times New Roman" w:cs="Times New Roman"/>
          <w:sz w:val="24"/>
          <w:szCs w:val="24"/>
        </w:rPr>
        <w:t xml:space="preserve"> </w:t>
      </w:r>
      <w:r w:rsidR="008B59E5" w:rsidRPr="00995029">
        <w:rPr>
          <w:rFonts w:ascii="Times New Roman" w:hAnsi="Times New Roman" w:cs="Times New Roman"/>
          <w:sz w:val="24"/>
          <w:szCs w:val="24"/>
        </w:rPr>
        <w:t>regarding</w:t>
      </w:r>
      <w:r w:rsidR="00834C1B" w:rsidRPr="00995029">
        <w:rPr>
          <w:rFonts w:ascii="Times New Roman" w:hAnsi="Times New Roman" w:cs="Times New Roman"/>
          <w:sz w:val="24"/>
          <w:szCs w:val="24"/>
        </w:rPr>
        <w:t xml:space="preserve"> </w:t>
      </w:r>
      <w:r w:rsidR="008B59E5" w:rsidRPr="00995029">
        <w:rPr>
          <w:rFonts w:ascii="Times New Roman" w:hAnsi="Times New Roman" w:cs="Times New Roman"/>
          <w:sz w:val="24"/>
          <w:szCs w:val="24"/>
        </w:rPr>
        <w:t>internal</w:t>
      </w:r>
      <w:r w:rsidR="00834C1B" w:rsidRPr="00995029">
        <w:rPr>
          <w:rFonts w:ascii="Times New Roman" w:hAnsi="Times New Roman" w:cs="Times New Roman"/>
          <w:sz w:val="24"/>
          <w:szCs w:val="24"/>
        </w:rPr>
        <w:t xml:space="preserve"> controls and </w:t>
      </w:r>
      <w:r w:rsidR="008B59E5" w:rsidRPr="00995029">
        <w:rPr>
          <w:rFonts w:ascii="Times New Roman" w:hAnsi="Times New Roman" w:cs="Times New Roman"/>
          <w:sz w:val="24"/>
          <w:szCs w:val="24"/>
        </w:rPr>
        <w:t>procedures</w:t>
      </w:r>
      <w:r w:rsidR="00834C1B" w:rsidRPr="00995029">
        <w:rPr>
          <w:rFonts w:ascii="Times New Roman" w:hAnsi="Times New Roman" w:cs="Times New Roman"/>
          <w:sz w:val="24"/>
          <w:szCs w:val="24"/>
        </w:rPr>
        <w:t xml:space="preserve">. </w:t>
      </w:r>
      <w:r w:rsidR="00566351" w:rsidRPr="00995029">
        <w:rPr>
          <w:rFonts w:ascii="Times New Roman" w:hAnsi="Times New Roman" w:cs="Times New Roman"/>
          <w:sz w:val="24"/>
          <w:szCs w:val="24"/>
        </w:rPr>
        <w:br/>
      </w:r>
      <w:r w:rsidR="00566351" w:rsidRPr="00995029">
        <w:rPr>
          <w:rFonts w:ascii="Times New Roman" w:hAnsi="Times New Roman" w:cs="Times New Roman"/>
          <w:sz w:val="24"/>
          <w:szCs w:val="24"/>
        </w:rPr>
        <w:br/>
      </w:r>
    </w:p>
    <w:p w14:paraId="0402D8CC" w14:textId="77777777" w:rsidR="00E34A42" w:rsidRDefault="00E34A42" w:rsidP="009950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C43C17A" w14:textId="77777777" w:rsidR="00E34A42" w:rsidRDefault="00E34A42" w:rsidP="009950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626E70" w14:textId="77777777" w:rsidR="003D6595" w:rsidRDefault="00E34A42" w:rsidP="009950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B8E3641" w14:textId="77777777" w:rsidR="001E2497" w:rsidRDefault="00E34A42" w:rsidP="00E34A42">
      <w:pPr>
        <w:spacing w:line="48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9950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Chin, K. (2019, December). </w:t>
      </w:r>
      <w:r w:rsidRPr="00CF7D86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MetLife Agrees to $10 Million SEC Fine Over Pension-Related </w:t>
      </w:r>
    </w:p>
    <w:p w14:paraId="3133A81D" w14:textId="7BAD89D9" w:rsidR="00E34A42" w:rsidRPr="00CF7D86" w:rsidRDefault="00E34A42" w:rsidP="001E24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7D86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Accounting Violations</w:t>
      </w:r>
    </w:p>
    <w:p w14:paraId="25C529D1" w14:textId="77777777" w:rsidR="00E34A42" w:rsidRPr="00995029" w:rsidRDefault="00DE0062" w:rsidP="001E249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7" w:history="1">
        <w:r w:rsidR="00E34A42" w:rsidRPr="0099502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https://www.wsj.com/articles/metlife-agrees-to-10-million-sec-fine-over-pension-related-</w:t>
        </w:r>
        <w:bookmarkStart w:id="0" w:name="_GoBack"/>
        <w:bookmarkEnd w:id="0"/>
        <w:r w:rsidR="00E34A42" w:rsidRPr="0099502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accounting-violations-11576723208</w:t>
        </w:r>
      </w:hyperlink>
    </w:p>
    <w:p w14:paraId="17E20321" w14:textId="77777777" w:rsidR="00E34A42" w:rsidRPr="00995029" w:rsidRDefault="00E34A42" w:rsidP="009950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34A42" w:rsidRPr="00995029" w:rsidSect="0023486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7E3511" w14:textId="77777777" w:rsidR="00DE0062" w:rsidRDefault="00DE0062" w:rsidP="0023486D">
      <w:pPr>
        <w:spacing w:after="0" w:line="240" w:lineRule="auto"/>
      </w:pPr>
      <w:r>
        <w:separator/>
      </w:r>
    </w:p>
  </w:endnote>
  <w:endnote w:type="continuationSeparator" w:id="0">
    <w:p w14:paraId="3AA597BC" w14:textId="77777777" w:rsidR="00DE0062" w:rsidRDefault="00DE0062" w:rsidP="00234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62DB5C" w14:textId="77777777" w:rsidR="00DE0062" w:rsidRDefault="00DE0062" w:rsidP="0023486D">
      <w:pPr>
        <w:spacing w:after="0" w:line="240" w:lineRule="auto"/>
      </w:pPr>
      <w:r>
        <w:separator/>
      </w:r>
    </w:p>
  </w:footnote>
  <w:footnote w:type="continuationSeparator" w:id="0">
    <w:p w14:paraId="08E12D4A" w14:textId="77777777" w:rsidR="00DE0062" w:rsidRDefault="00DE0062" w:rsidP="002348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A0BAC" w14:textId="77777777" w:rsidR="0023486D" w:rsidRDefault="0023486D">
    <w:pPr>
      <w:pStyle w:val="Header"/>
      <w:jc w:val="right"/>
    </w:pPr>
    <w:r w:rsidRPr="0023486D">
      <w:rPr>
        <w:rFonts w:ascii="Times New Roman" w:hAnsi="Times New Roman" w:cs="Times New Roman"/>
        <w:sz w:val="24"/>
        <w:szCs w:val="24"/>
      </w:rPr>
      <w:t>INTERNAL CONTROL ISSUES</w:t>
    </w:r>
    <w:r>
      <w:tab/>
    </w:r>
    <w:r>
      <w:tab/>
    </w:r>
    <w:sdt>
      <w:sdtPr>
        <w:id w:val="26990732"/>
        <w:docPartObj>
          <w:docPartGallery w:val="Page Numbers (Top of Page)"/>
          <w:docPartUnique/>
        </w:docPartObj>
      </w:sdtPr>
      <w:sdtEndPr/>
      <w:sdtContent>
        <w:r w:rsidR="00DE0062">
          <w:fldChar w:fldCharType="begin"/>
        </w:r>
        <w:r w:rsidR="00DE0062">
          <w:instrText xml:space="preserve"> PAGE   \* MERGEFORMAT </w:instrText>
        </w:r>
        <w:r w:rsidR="00DE0062">
          <w:fldChar w:fldCharType="separate"/>
        </w:r>
        <w:r w:rsidR="00E34A42">
          <w:rPr>
            <w:noProof/>
          </w:rPr>
          <w:t>4</w:t>
        </w:r>
        <w:r w:rsidR="00DE0062">
          <w:rPr>
            <w:noProof/>
          </w:rPr>
          <w:fldChar w:fldCharType="end"/>
        </w:r>
      </w:sdtContent>
    </w:sdt>
  </w:p>
  <w:p w14:paraId="664E877F" w14:textId="77777777" w:rsidR="0023486D" w:rsidRDefault="002348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A562D0" w14:textId="77777777" w:rsidR="0023486D" w:rsidRDefault="0023486D">
    <w:pPr>
      <w:pStyle w:val="Header"/>
      <w:jc w:val="right"/>
    </w:pPr>
    <w:r w:rsidRPr="0023486D">
      <w:rPr>
        <w:rFonts w:ascii="Times New Roman" w:hAnsi="Times New Roman" w:cs="Times New Roman"/>
        <w:sz w:val="24"/>
        <w:szCs w:val="24"/>
      </w:rPr>
      <w:t>Running Head: INTERNAL CONTROL ISSUES</w:t>
    </w:r>
    <w:r>
      <w:t xml:space="preserve"> </w:t>
    </w:r>
    <w:r>
      <w:tab/>
    </w:r>
    <w:r>
      <w:tab/>
    </w:r>
    <w:sdt>
      <w:sdtPr>
        <w:id w:val="26990760"/>
        <w:docPartObj>
          <w:docPartGallery w:val="Page Numbers (Top of Page)"/>
          <w:docPartUnique/>
        </w:docPartObj>
      </w:sdtPr>
      <w:sdtEndPr/>
      <w:sdtContent>
        <w:r w:rsidR="00DE0062">
          <w:fldChar w:fldCharType="begin"/>
        </w:r>
        <w:r w:rsidR="00DE0062">
          <w:instrText xml:space="preserve"> PAGE   \* MERGEFORMAT </w:instrText>
        </w:r>
        <w:r w:rsidR="00DE0062">
          <w:fldChar w:fldCharType="separate"/>
        </w:r>
        <w:r>
          <w:rPr>
            <w:noProof/>
          </w:rPr>
          <w:t>1</w:t>
        </w:r>
        <w:r w:rsidR="00DE0062">
          <w:rPr>
            <w:noProof/>
          </w:rPr>
          <w:fldChar w:fldCharType="end"/>
        </w:r>
      </w:sdtContent>
    </w:sdt>
  </w:p>
  <w:p w14:paraId="5ECC8FD1" w14:textId="77777777" w:rsidR="0023486D" w:rsidRDefault="002348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51"/>
    <w:rsid w:val="00186D3C"/>
    <w:rsid w:val="001879E4"/>
    <w:rsid w:val="001E2497"/>
    <w:rsid w:val="0023486D"/>
    <w:rsid w:val="00262C81"/>
    <w:rsid w:val="00265AED"/>
    <w:rsid w:val="00287443"/>
    <w:rsid w:val="00493DE6"/>
    <w:rsid w:val="004A59A3"/>
    <w:rsid w:val="00566351"/>
    <w:rsid w:val="006404AC"/>
    <w:rsid w:val="0064114A"/>
    <w:rsid w:val="00815B98"/>
    <w:rsid w:val="00834C1B"/>
    <w:rsid w:val="008809A2"/>
    <w:rsid w:val="008B59E5"/>
    <w:rsid w:val="008F2DC7"/>
    <w:rsid w:val="00954909"/>
    <w:rsid w:val="00975BD1"/>
    <w:rsid w:val="00995029"/>
    <w:rsid w:val="009D7CF5"/>
    <w:rsid w:val="00A73901"/>
    <w:rsid w:val="00B4277E"/>
    <w:rsid w:val="00CA4C14"/>
    <w:rsid w:val="00CF7D86"/>
    <w:rsid w:val="00D10402"/>
    <w:rsid w:val="00D17E44"/>
    <w:rsid w:val="00DC4EA5"/>
    <w:rsid w:val="00DD4E2F"/>
    <w:rsid w:val="00DE0062"/>
    <w:rsid w:val="00DE5865"/>
    <w:rsid w:val="00E3384F"/>
    <w:rsid w:val="00E34A42"/>
    <w:rsid w:val="00E47A4F"/>
    <w:rsid w:val="00E61A47"/>
    <w:rsid w:val="00E7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5E609"/>
  <w15:docId w15:val="{50B81983-AA21-4912-88B9-AB6E6739E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9E4"/>
  </w:style>
  <w:style w:type="paragraph" w:styleId="Heading1">
    <w:name w:val="heading 1"/>
    <w:basedOn w:val="Normal"/>
    <w:link w:val="Heading1Char"/>
    <w:uiPriority w:val="9"/>
    <w:qFormat/>
    <w:rsid w:val="00CF7D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CF7D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7D8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CF7D8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CF7D8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348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86D"/>
  </w:style>
  <w:style w:type="paragraph" w:styleId="Footer">
    <w:name w:val="footer"/>
    <w:basedOn w:val="Normal"/>
    <w:link w:val="FooterChar"/>
    <w:uiPriority w:val="99"/>
    <w:semiHidden/>
    <w:unhideWhenUsed/>
    <w:rsid w:val="002348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3486D"/>
  </w:style>
  <w:style w:type="character" w:styleId="FollowedHyperlink">
    <w:name w:val="FollowedHyperlink"/>
    <w:basedOn w:val="DefaultParagraphFont"/>
    <w:uiPriority w:val="99"/>
    <w:semiHidden/>
    <w:unhideWhenUsed/>
    <w:rsid w:val="001E249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32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9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034059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83792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74790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9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30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235235">
                          <w:marLeft w:val="0"/>
                          <w:marRight w:val="0"/>
                          <w:marTop w:val="0"/>
                          <w:marBottom w:val="2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99484">
                              <w:marLeft w:val="0"/>
                              <w:marRight w:val="225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90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wsj.com/articles/metlife-agrees-to-10-million-sec-fine-over-pension-related-accounting-violations-1157672320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sj.com/articles/metlife-agrees-to-10-million-sec-fine-over-pension-related-accounting-violations-1157672320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PRISCA</dc:creator>
  <cp:lastModifiedBy>Scofied</cp:lastModifiedBy>
  <cp:revision>2</cp:revision>
  <dcterms:created xsi:type="dcterms:W3CDTF">2020-04-08T19:48:00Z</dcterms:created>
  <dcterms:modified xsi:type="dcterms:W3CDTF">2020-04-08T19:48:00Z</dcterms:modified>
</cp:coreProperties>
</file>